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4B" w:rsidRPr="00FF7E1E" w:rsidRDefault="00874E87" w:rsidP="00A00D4B">
      <w:pPr>
        <w:spacing w:after="200"/>
        <w:jc w:val="center"/>
        <w:rPr>
          <w:rFonts w:asciiTheme="majorHAnsi" w:eastAsia="Times New Roman" w:hAnsiTheme="majorHAnsi" w:cstheme="majorHAnsi"/>
          <w:b/>
          <w:sz w:val="40"/>
          <w:szCs w:val="40"/>
          <w:lang w:eastAsia="fr-FR"/>
        </w:rPr>
      </w:pPr>
      <w:r w:rsidRPr="00FF7E1E">
        <w:rPr>
          <w:rFonts w:asciiTheme="majorHAnsi" w:eastAsia="Times New Roman" w:hAnsiTheme="majorHAnsi" w:cstheme="majorHAnsi"/>
          <w:b/>
          <w:sz w:val="40"/>
          <w:szCs w:val="40"/>
          <w:lang w:eastAsia="fr-FR"/>
        </w:rPr>
        <w:t xml:space="preserve">Partenariat écoles/familles : </w:t>
      </w:r>
      <w:r w:rsidR="00FF7E1E">
        <w:rPr>
          <w:rFonts w:asciiTheme="majorHAnsi" w:eastAsia="Times New Roman" w:hAnsiTheme="majorHAnsi" w:cstheme="majorHAnsi"/>
          <w:b/>
          <w:sz w:val="40"/>
          <w:szCs w:val="40"/>
          <w:lang w:eastAsia="fr-FR"/>
        </w:rPr>
        <w:t>La réunion de début d’année</w:t>
      </w:r>
    </w:p>
    <w:p w:rsidR="00FF7E1E" w:rsidRPr="005D73C5" w:rsidRDefault="00FF7E1E" w:rsidP="00FF7E1E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5D73C5">
        <w:rPr>
          <w:rFonts w:asciiTheme="majorHAnsi" w:hAnsiTheme="majorHAnsi" w:cstheme="majorHAnsi"/>
          <w:b/>
          <w:i/>
          <w:sz w:val="32"/>
          <w:szCs w:val="32"/>
        </w:rPr>
        <w:t>Année scolaire 2022 - 2023</w:t>
      </w:r>
    </w:p>
    <w:p w:rsidR="00FF7E1E" w:rsidRPr="005D73C5" w:rsidRDefault="00FF7E1E" w:rsidP="00FF7E1E">
      <w:pPr>
        <w:jc w:val="center"/>
        <w:rPr>
          <w:rFonts w:asciiTheme="majorHAnsi" w:hAnsiTheme="majorHAnsi" w:cstheme="majorHAnsi"/>
          <w:sz w:val="32"/>
          <w:szCs w:val="32"/>
        </w:rPr>
      </w:pPr>
      <w:r w:rsidRPr="005D73C5">
        <w:rPr>
          <w:rFonts w:asciiTheme="majorHAnsi" w:hAnsiTheme="majorHAnsi" w:cstheme="majorHAnsi"/>
          <w:sz w:val="32"/>
          <w:szCs w:val="32"/>
        </w:rPr>
        <w:t>Circonscription de Saint-Etienne sud</w:t>
      </w:r>
    </w:p>
    <w:p w:rsidR="00A00D4B" w:rsidRPr="0056786D" w:rsidRDefault="00A00D4B" w:rsidP="00A00D4B">
      <w:pPr>
        <w:pStyle w:val="Paragraphedeliste"/>
        <w:rPr>
          <w:rFonts w:asciiTheme="majorHAnsi" w:eastAsia="Times New Roman" w:hAnsiTheme="majorHAnsi" w:cstheme="majorHAnsi"/>
          <w:lang w:eastAsia="fr-FR"/>
        </w:rPr>
      </w:pPr>
    </w:p>
    <w:p w:rsidR="00C33C9F" w:rsidRPr="00CF14BE" w:rsidRDefault="00A84A49" w:rsidP="00327FEC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theme="majorHAnsi"/>
          <w:b/>
          <w:u w:val="single"/>
          <w:lang w:eastAsia="fr-FR"/>
        </w:rPr>
      </w:pPr>
      <w:r w:rsidRPr="00CF14BE">
        <w:rPr>
          <w:rFonts w:asciiTheme="majorHAnsi" w:eastAsia="Times New Roman" w:hAnsiTheme="majorHAnsi" w:cstheme="majorHAnsi"/>
          <w:b/>
          <w:u w:val="single"/>
          <w:lang w:eastAsia="fr-FR"/>
        </w:rPr>
        <w:t>Les enjeux de la réunion</w:t>
      </w:r>
      <w:r w:rsidR="00327FEC" w:rsidRPr="00CF14BE">
        <w:rPr>
          <w:rFonts w:asciiTheme="majorHAnsi" w:eastAsia="Times New Roman" w:hAnsiTheme="majorHAnsi" w:cstheme="majorHAnsi"/>
          <w:b/>
          <w:u w:val="single"/>
          <w:lang w:eastAsia="fr-FR"/>
        </w:rPr>
        <w:t xml:space="preserve"> de rentrée</w:t>
      </w:r>
    </w:p>
    <w:p w:rsidR="00327FEC" w:rsidRDefault="00327FEC" w:rsidP="00327FEC">
      <w:pPr>
        <w:rPr>
          <w:rFonts w:asciiTheme="majorHAnsi" w:eastAsia="Times New Roman" w:hAnsiTheme="majorHAnsi" w:cstheme="majorHAnsi"/>
          <w:lang w:eastAsia="fr-FR"/>
        </w:rPr>
      </w:pPr>
    </w:p>
    <w:p w:rsidR="001C7097" w:rsidRDefault="001C7097" w:rsidP="001C7097">
      <w:pPr>
        <w:ind w:left="360"/>
        <w:rPr>
          <w:rFonts w:asciiTheme="majorHAnsi" w:eastAsia="Times New Roman" w:hAnsiTheme="majorHAnsi" w:cstheme="majorHAnsi"/>
          <w:iCs/>
          <w:lang w:eastAsia="fr-FR"/>
        </w:rPr>
      </w:pPr>
      <w:r w:rsidRPr="001C7097">
        <w:rPr>
          <w:rFonts w:asciiTheme="majorHAnsi" w:eastAsia="Times New Roman" w:hAnsiTheme="majorHAnsi" w:cstheme="majorHAnsi"/>
          <w:iCs/>
          <w:lang w:eastAsia="fr-FR"/>
        </w:rPr>
        <w:t>La réunion de rentrée doit se disting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uer des rencontres informelles au quotidien </w:t>
      </w:r>
      <w:r w:rsidRPr="001C7097">
        <w:rPr>
          <w:rFonts w:asciiTheme="majorHAnsi" w:eastAsia="Times New Roman" w:hAnsiTheme="majorHAnsi" w:cstheme="majorHAnsi"/>
          <w:iCs/>
          <w:lang w:eastAsia="fr-FR"/>
        </w:rPr>
        <w:t>ou des entretiens individuels (axés sur les élèves). Elle n’est pas porteuse des mêmes enjeux</w:t>
      </w:r>
      <w:r>
        <w:rPr>
          <w:rFonts w:asciiTheme="majorHAnsi" w:eastAsia="Times New Roman" w:hAnsiTheme="majorHAnsi" w:cstheme="majorHAnsi"/>
          <w:iCs/>
          <w:lang w:eastAsia="fr-FR"/>
        </w:rPr>
        <w:t>.</w:t>
      </w:r>
    </w:p>
    <w:p w:rsidR="001C7097" w:rsidRDefault="001C7097" w:rsidP="001C7097">
      <w:pPr>
        <w:ind w:left="360"/>
        <w:rPr>
          <w:rFonts w:asciiTheme="majorHAnsi" w:eastAsia="Times New Roman" w:hAnsiTheme="majorHAnsi" w:cstheme="majorHAnsi"/>
          <w:iCs/>
          <w:lang w:eastAsia="fr-FR"/>
        </w:rPr>
      </w:pPr>
    </w:p>
    <w:p w:rsidR="00A84A49" w:rsidRDefault="001C7097" w:rsidP="00A84A49">
      <w:pPr>
        <w:ind w:left="360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 xml:space="preserve">Elle revêt une </w:t>
      </w:r>
      <w:r w:rsidRPr="00CF14BE">
        <w:rPr>
          <w:rFonts w:asciiTheme="majorHAnsi" w:eastAsia="Times New Roman" w:hAnsiTheme="majorHAnsi" w:cstheme="majorHAnsi"/>
          <w:b/>
          <w:iCs/>
          <w:lang w:eastAsia="fr-FR"/>
        </w:rPr>
        <w:t>importance particulière en maternelle</w:t>
      </w:r>
      <w:r>
        <w:rPr>
          <w:rFonts w:asciiTheme="majorHAnsi" w:eastAsia="Times New Roman" w:hAnsiTheme="majorHAnsi" w:cstheme="majorHAnsi"/>
          <w:iCs/>
          <w:lang w:eastAsia="fr-FR"/>
        </w:rPr>
        <w:t> : de même que l’on prépare progressivement les enfants à devenir</w:t>
      </w:r>
      <w:r w:rsidRPr="004905FD">
        <w:rPr>
          <w:rFonts w:asciiTheme="majorHAnsi" w:eastAsia="Times New Roman" w:hAnsiTheme="majorHAnsi" w:cstheme="majorHAnsi"/>
          <w:iCs/>
          <w:color w:val="538135" w:themeColor="accent6" w:themeShade="BF"/>
          <w:lang w:eastAsia="fr-FR"/>
        </w:rPr>
        <w:t xml:space="preserve"> élève</w:t>
      </w:r>
      <w:r w:rsidR="004905FD" w:rsidRPr="004905FD">
        <w:rPr>
          <w:rFonts w:asciiTheme="majorHAnsi" w:eastAsia="Times New Roman" w:hAnsiTheme="majorHAnsi" w:cstheme="majorHAnsi"/>
          <w:iCs/>
          <w:color w:val="538135" w:themeColor="accent6" w:themeShade="BF"/>
          <w:lang w:eastAsia="fr-FR"/>
        </w:rPr>
        <w:t>s</w:t>
      </w:r>
      <w:r>
        <w:rPr>
          <w:rFonts w:asciiTheme="majorHAnsi" w:eastAsia="Times New Roman" w:hAnsiTheme="majorHAnsi" w:cstheme="majorHAnsi"/>
          <w:iCs/>
          <w:lang w:eastAsia="fr-FR"/>
        </w:rPr>
        <w:t>, il faut accompagner les parents pour qu’ils deviennent des parents d’élèves.</w:t>
      </w:r>
    </w:p>
    <w:p w:rsidR="001C7097" w:rsidRDefault="001C7097" w:rsidP="001C7097">
      <w:pPr>
        <w:ind w:left="360"/>
        <w:rPr>
          <w:rFonts w:asciiTheme="majorHAnsi" w:eastAsia="Times New Roman" w:hAnsiTheme="majorHAnsi" w:cstheme="majorHAnsi"/>
          <w:iCs/>
          <w:lang w:eastAsia="fr-FR"/>
        </w:rPr>
      </w:pPr>
    </w:p>
    <w:p w:rsidR="001C7097" w:rsidRPr="001C7097" w:rsidRDefault="001C7097" w:rsidP="001C7097">
      <w:pPr>
        <w:ind w:left="360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Les enjeux de la réunion de rentrée peuvent être :</w:t>
      </w:r>
    </w:p>
    <w:p w:rsidR="00C33C9F" w:rsidRDefault="00C33C9F" w:rsidP="00327FEC">
      <w:pPr>
        <w:pStyle w:val="Paragraphedeliste"/>
        <w:rPr>
          <w:rFonts w:asciiTheme="majorHAnsi" w:eastAsia="Times New Roman" w:hAnsiTheme="majorHAnsi" w:cstheme="majorHAnsi"/>
          <w:lang w:eastAsia="fr-FR"/>
        </w:rPr>
      </w:pPr>
    </w:p>
    <w:p w:rsidR="001C7097" w:rsidRDefault="00C33C9F" w:rsidP="001808D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 w:rsidRPr="001C7097">
        <w:rPr>
          <w:rFonts w:asciiTheme="majorHAnsi" w:eastAsia="Times New Roman" w:hAnsiTheme="majorHAnsi" w:cstheme="majorHAnsi"/>
          <w:lang w:eastAsia="fr-FR"/>
        </w:rPr>
        <w:t xml:space="preserve">Communiquer, porter (de manière solennelle) les valeurs de l’école </w:t>
      </w:r>
      <w:r w:rsidR="001C7097" w:rsidRPr="001C7097">
        <w:rPr>
          <w:rFonts w:asciiTheme="majorHAnsi" w:eastAsia="Times New Roman" w:hAnsiTheme="majorHAnsi" w:cstheme="majorHAnsi"/>
          <w:lang w:eastAsia="fr-FR"/>
        </w:rPr>
        <w:t>et du service publi</w:t>
      </w:r>
      <w:r w:rsidR="001C7097">
        <w:rPr>
          <w:rFonts w:asciiTheme="majorHAnsi" w:eastAsia="Times New Roman" w:hAnsiTheme="majorHAnsi" w:cstheme="majorHAnsi"/>
          <w:lang w:eastAsia="fr-FR"/>
        </w:rPr>
        <w:t>c d’éducation : neutralité, laïcité, gratuité, obligation scolaire</w:t>
      </w:r>
    </w:p>
    <w:p w:rsidR="009C7B50" w:rsidRPr="001C7097" w:rsidRDefault="00C33C9F" w:rsidP="001808D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 w:rsidRPr="001C7097">
        <w:rPr>
          <w:rFonts w:asciiTheme="majorHAnsi" w:eastAsia="Times New Roman" w:hAnsiTheme="majorHAnsi" w:cstheme="majorHAnsi"/>
          <w:lang w:eastAsia="fr-FR"/>
        </w:rPr>
        <w:t>Faire connaître son fonctionnement</w:t>
      </w:r>
      <w:r w:rsidR="001C7097">
        <w:rPr>
          <w:rFonts w:asciiTheme="majorHAnsi" w:eastAsia="Times New Roman" w:hAnsiTheme="majorHAnsi" w:cstheme="majorHAnsi"/>
          <w:lang w:eastAsia="fr-FR"/>
        </w:rPr>
        <w:t xml:space="preserve"> (cf. le document « mode d’emploi du partenariat »)</w:t>
      </w:r>
    </w:p>
    <w:p w:rsidR="00C33C9F" w:rsidRPr="001C7097" w:rsidRDefault="00C33C9F" w:rsidP="001C7097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 w:rsidRPr="00C33C9F">
        <w:rPr>
          <w:rFonts w:asciiTheme="majorHAnsi" w:eastAsia="Times New Roman" w:hAnsiTheme="majorHAnsi" w:cstheme="majorHAnsi"/>
          <w:lang w:eastAsia="fr-FR"/>
        </w:rPr>
        <w:t>Poser les principes d’un partenariat de qualité</w:t>
      </w:r>
      <w:r w:rsidR="001C7097">
        <w:rPr>
          <w:rFonts w:asciiTheme="majorHAnsi" w:eastAsia="Times New Roman" w:hAnsiTheme="majorHAnsi" w:cstheme="majorHAnsi"/>
          <w:lang w:eastAsia="fr-FR"/>
        </w:rPr>
        <w:t xml:space="preserve"> (cf. le document « typologie des actions visant à développer le partenariat »)</w:t>
      </w:r>
    </w:p>
    <w:p w:rsidR="00C33C9F" w:rsidRPr="00C33C9F" w:rsidRDefault="00C33C9F" w:rsidP="00C33C9F">
      <w:pPr>
        <w:ind w:left="360"/>
        <w:rPr>
          <w:rFonts w:asciiTheme="majorHAnsi" w:eastAsia="Times New Roman" w:hAnsiTheme="majorHAnsi" w:cstheme="majorHAnsi"/>
          <w:lang w:eastAsia="fr-FR"/>
        </w:rPr>
      </w:pPr>
    </w:p>
    <w:p w:rsidR="00C33C9F" w:rsidRPr="00CF14BE" w:rsidRDefault="00327FEC" w:rsidP="00327FEC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theme="majorHAnsi"/>
          <w:b/>
          <w:u w:val="single"/>
          <w:lang w:eastAsia="fr-FR"/>
        </w:rPr>
      </w:pPr>
      <w:bookmarkStart w:id="0" w:name="_GoBack"/>
      <w:r w:rsidRPr="00CF14BE">
        <w:rPr>
          <w:rFonts w:asciiTheme="majorHAnsi" w:eastAsia="Times New Roman" w:hAnsiTheme="majorHAnsi" w:cstheme="majorHAnsi"/>
          <w:b/>
          <w:u w:val="single"/>
          <w:lang w:eastAsia="fr-FR"/>
        </w:rPr>
        <w:t>Que dire au cours d’une réunion de rentrée ?</w:t>
      </w:r>
    </w:p>
    <w:bookmarkEnd w:id="0"/>
    <w:p w:rsidR="00327FEC" w:rsidRDefault="00327FEC" w:rsidP="00327FEC">
      <w:pPr>
        <w:rPr>
          <w:rFonts w:asciiTheme="majorHAnsi" w:eastAsia="Times New Roman" w:hAnsiTheme="majorHAnsi" w:cstheme="majorHAnsi"/>
          <w:lang w:eastAsia="fr-FR"/>
        </w:rPr>
      </w:pPr>
    </w:p>
    <w:p w:rsidR="0012441F" w:rsidRPr="0012441F" w:rsidRDefault="0012441F" w:rsidP="0012441F">
      <w:pPr>
        <w:ind w:left="360"/>
        <w:rPr>
          <w:rFonts w:asciiTheme="majorHAnsi" w:eastAsia="Times New Roman" w:hAnsiTheme="majorHAnsi" w:cstheme="majorHAnsi"/>
          <w:iCs/>
          <w:lang w:eastAsia="fr-FR"/>
        </w:rPr>
      </w:pPr>
      <w:r w:rsidRPr="0012441F">
        <w:rPr>
          <w:rFonts w:asciiTheme="majorHAnsi" w:eastAsia="Times New Roman" w:hAnsiTheme="majorHAnsi" w:cstheme="majorHAnsi"/>
          <w:iCs/>
          <w:lang w:eastAsia="fr-FR"/>
        </w:rPr>
        <w:t>Des incontournables 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(cf. propositions d’éléments de langage dans le document « mode d’emploi du </w:t>
      </w:r>
      <w:r w:rsidR="00A84A49">
        <w:rPr>
          <w:rFonts w:asciiTheme="majorHAnsi" w:eastAsia="Times New Roman" w:hAnsiTheme="majorHAnsi" w:cstheme="majorHAnsi"/>
          <w:iCs/>
          <w:lang w:eastAsia="fr-FR"/>
        </w:rPr>
        <w:t>partenariat</w:t>
      </w:r>
      <w:r>
        <w:rPr>
          <w:rFonts w:asciiTheme="majorHAnsi" w:eastAsia="Times New Roman" w:hAnsiTheme="majorHAnsi" w:cstheme="majorHAnsi"/>
          <w:iCs/>
          <w:lang w:eastAsia="fr-FR"/>
        </w:rPr>
        <w:t> »</w:t>
      </w:r>
      <w:r w:rsidR="00A84A49">
        <w:rPr>
          <w:rFonts w:asciiTheme="majorHAnsi" w:eastAsia="Times New Roman" w:hAnsiTheme="majorHAnsi" w:cstheme="majorHAnsi"/>
          <w:iCs/>
          <w:lang w:eastAsia="fr-FR"/>
        </w:rPr>
        <w:t>) :</w:t>
      </w:r>
    </w:p>
    <w:p w:rsidR="0012441F" w:rsidRDefault="0012441F" w:rsidP="001C7097">
      <w:pPr>
        <w:rPr>
          <w:rFonts w:asciiTheme="majorHAnsi" w:eastAsia="Times New Roman" w:hAnsiTheme="majorHAnsi" w:cstheme="majorHAnsi"/>
          <w:lang w:eastAsia="fr-FR"/>
        </w:rPr>
      </w:pPr>
    </w:p>
    <w:p w:rsidR="00001CEB" w:rsidRDefault="0012441F" w:rsidP="0012441F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Ce qu’est le partenariat, à quoi il sert et pourquoi il est important</w:t>
      </w:r>
    </w:p>
    <w:p w:rsidR="001C7097" w:rsidRDefault="0012441F" w:rsidP="0012441F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Les</w:t>
      </w:r>
      <w:r w:rsidR="001C7097">
        <w:rPr>
          <w:rFonts w:asciiTheme="majorHAnsi" w:eastAsia="Times New Roman" w:hAnsiTheme="majorHAnsi" w:cstheme="majorHAnsi"/>
          <w:lang w:eastAsia="fr-FR"/>
        </w:rPr>
        <w:t xml:space="preserve"> modalités de communication parents/enseignants/directeurs</w:t>
      </w:r>
      <w:r>
        <w:rPr>
          <w:rFonts w:asciiTheme="majorHAnsi" w:eastAsia="Times New Roman" w:hAnsiTheme="majorHAnsi" w:cstheme="majorHAnsi"/>
          <w:lang w:eastAsia="fr-FR"/>
        </w:rPr>
        <w:t> : quand ?</w:t>
      </w:r>
      <w:r w:rsidR="00A84A49">
        <w:rPr>
          <w:rFonts w:asciiTheme="majorHAnsi" w:eastAsia="Times New Roman" w:hAnsiTheme="majorHAnsi" w:cstheme="majorHAnsi"/>
          <w:lang w:eastAsia="fr-FR"/>
        </w:rPr>
        <w:t xml:space="preserve"> comment</w:t>
      </w:r>
      <w:r>
        <w:rPr>
          <w:rFonts w:asciiTheme="majorHAnsi" w:eastAsia="Times New Roman" w:hAnsiTheme="majorHAnsi" w:cstheme="majorHAnsi"/>
          <w:lang w:eastAsia="fr-FR"/>
        </w:rPr>
        <w:t> ? Quelle attitude adopter en cas de désaccord ?</w:t>
      </w:r>
    </w:p>
    <w:p w:rsidR="001C7097" w:rsidRDefault="0012441F" w:rsidP="0012441F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Le rôle des parents</w:t>
      </w:r>
    </w:p>
    <w:p w:rsidR="001C7097" w:rsidRDefault="001C7097" w:rsidP="0012441F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Éléments concernant la scolarité des enfants : </w:t>
      </w:r>
      <w:r w:rsidR="0012441F">
        <w:rPr>
          <w:rFonts w:asciiTheme="majorHAnsi" w:eastAsia="Times New Roman" w:hAnsiTheme="majorHAnsi" w:cstheme="majorHAnsi"/>
          <w:lang w:eastAsia="fr-FR"/>
        </w:rPr>
        <w:t>explications sur les répartitions pédagogiques, l’organisation des enseignements, les devoirs à la maison, la prise en compte des difficultés, les sanctions, certains enseignements « sensibles » prévus aux programmes (laïcité, éducation à la sexualité, etc.)</w:t>
      </w:r>
    </w:p>
    <w:p w:rsidR="0012441F" w:rsidRPr="001C7097" w:rsidRDefault="0012441F" w:rsidP="0012441F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Éléments concernant le fonctionnement de l’école : rôle du directeur, différence entre temps scolaire et périscolaire, le conseil d’école, le règlement de l’école, etc.</w:t>
      </w:r>
    </w:p>
    <w:p w:rsidR="00327FEC" w:rsidRPr="00327FEC" w:rsidRDefault="00327FEC" w:rsidP="00327FEC">
      <w:pPr>
        <w:rPr>
          <w:rFonts w:asciiTheme="majorHAnsi" w:eastAsia="Times New Roman" w:hAnsiTheme="majorHAnsi" w:cstheme="majorHAnsi"/>
          <w:lang w:eastAsia="fr-FR"/>
        </w:rPr>
      </w:pPr>
    </w:p>
    <w:p w:rsidR="00C33C9F" w:rsidRPr="00327FEC" w:rsidRDefault="00C33C9F" w:rsidP="00327FEC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theme="majorHAnsi"/>
          <w:b/>
          <w:lang w:eastAsia="fr-FR"/>
        </w:rPr>
      </w:pPr>
      <w:r w:rsidRPr="00327FEC">
        <w:rPr>
          <w:rFonts w:asciiTheme="majorHAnsi" w:eastAsia="Times New Roman" w:hAnsiTheme="majorHAnsi" w:cstheme="majorHAnsi"/>
          <w:b/>
          <w:lang w:eastAsia="fr-FR"/>
        </w:rPr>
        <w:t>Conseils</w:t>
      </w:r>
      <w:r w:rsidR="00327FEC" w:rsidRPr="00327FEC">
        <w:rPr>
          <w:rFonts w:asciiTheme="majorHAnsi" w:eastAsia="Times New Roman" w:hAnsiTheme="majorHAnsi" w:cstheme="majorHAnsi"/>
          <w:b/>
          <w:lang w:eastAsia="fr-FR"/>
        </w:rPr>
        <w:t xml:space="preserve"> pour organiser la réunion</w:t>
      </w:r>
    </w:p>
    <w:p w:rsidR="00C33C9F" w:rsidRPr="00327FEC" w:rsidRDefault="00C33C9F" w:rsidP="00327FEC">
      <w:pPr>
        <w:pStyle w:val="Paragraphedeliste"/>
        <w:rPr>
          <w:rFonts w:asciiTheme="majorHAnsi" w:eastAsia="Times New Roman" w:hAnsiTheme="majorHAnsi" w:cstheme="majorHAnsi"/>
          <w:lang w:eastAsia="fr-FR"/>
        </w:rPr>
      </w:pPr>
    </w:p>
    <w:p w:rsidR="00A00D4B" w:rsidRPr="00A00D4B" w:rsidRDefault="00A00D4B" w:rsidP="00A00D4B">
      <w:pPr>
        <w:pStyle w:val="Paragraphedeliste"/>
        <w:numPr>
          <w:ilvl w:val="0"/>
          <w:numId w:val="1"/>
        </w:numPr>
        <w:rPr>
          <w:rFonts w:asciiTheme="majorHAnsi" w:eastAsia="Times New Roman" w:hAnsiTheme="majorHAnsi" w:cstheme="majorHAnsi"/>
          <w:lang w:eastAsia="fr-FR"/>
        </w:rPr>
      </w:pPr>
      <w:r w:rsidRPr="00A00D4B">
        <w:rPr>
          <w:rFonts w:asciiTheme="majorHAnsi" w:eastAsia="Times New Roman" w:hAnsiTheme="majorHAnsi" w:cstheme="majorHAnsi"/>
          <w:lang w:eastAsia="fr-FR"/>
        </w:rPr>
        <w:t>Avant la réunion, si certains parents n’ont pas pu faire garder leurs enfants, prévoir des activités à effectuer en autonomie dans une salle attenante. Possibilité de solliciter une personne volontaire (AVS, service civique…) pour assurer la surveillance</w:t>
      </w:r>
    </w:p>
    <w:p w:rsidR="00A00D4B" w:rsidRPr="0056786D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Avant la réunion, </w:t>
      </w:r>
      <w:r w:rsidRPr="0056786D">
        <w:rPr>
          <w:rFonts w:asciiTheme="majorHAnsi" w:eastAsia="Times New Roman" w:hAnsiTheme="majorHAnsi" w:cstheme="majorHAnsi"/>
          <w:lang w:eastAsia="fr-FR"/>
        </w:rPr>
        <w:t>installer la convivialité</w:t>
      </w:r>
      <w:r>
        <w:rPr>
          <w:rFonts w:asciiTheme="majorHAnsi" w:eastAsia="Times New Roman" w:hAnsiTheme="majorHAnsi" w:cstheme="majorHAnsi"/>
          <w:lang w:eastAsia="fr-FR"/>
        </w:rPr>
        <w:t xml:space="preserve"> : </w:t>
      </w:r>
      <w:r w:rsidR="00B22DC6">
        <w:rPr>
          <w:rFonts w:asciiTheme="majorHAnsi" w:eastAsia="Times New Roman" w:hAnsiTheme="majorHAnsi" w:cstheme="majorHAnsi"/>
          <w:lang w:eastAsia="fr-FR"/>
        </w:rPr>
        <w:t xml:space="preserve">accueillir individuellement, </w:t>
      </w:r>
      <w:r>
        <w:rPr>
          <w:rFonts w:asciiTheme="majorHAnsi" w:eastAsia="Times New Roman" w:hAnsiTheme="majorHAnsi" w:cstheme="majorHAnsi"/>
          <w:lang w:eastAsia="fr-FR"/>
        </w:rPr>
        <w:t>mettre de la musique, projeter des photos ou films de classe, de travaux d’élèves, prévoir des jus de fruit,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 prendre le temps de discuter de tout et </w:t>
      </w:r>
      <w:r>
        <w:rPr>
          <w:rFonts w:asciiTheme="majorHAnsi" w:eastAsia="Times New Roman" w:hAnsiTheme="majorHAnsi" w:cstheme="majorHAnsi"/>
          <w:lang w:eastAsia="fr-FR"/>
        </w:rPr>
        <w:t xml:space="preserve">de </w:t>
      </w:r>
      <w:r w:rsidRPr="0056786D">
        <w:rPr>
          <w:rFonts w:asciiTheme="majorHAnsi" w:eastAsia="Times New Roman" w:hAnsiTheme="majorHAnsi" w:cstheme="majorHAnsi"/>
          <w:lang w:eastAsia="fr-FR"/>
        </w:rPr>
        <w:t>rien</w:t>
      </w:r>
      <w:r>
        <w:rPr>
          <w:rFonts w:asciiTheme="majorHAnsi" w:eastAsia="Times New Roman" w:hAnsiTheme="majorHAnsi" w:cstheme="majorHAnsi"/>
          <w:lang w:eastAsia="fr-FR"/>
        </w:rPr>
        <w:t>, briser la glace</w:t>
      </w:r>
      <w:r w:rsidR="00A742E9">
        <w:rPr>
          <w:rFonts w:asciiTheme="majorHAnsi" w:eastAsia="Times New Roman" w:hAnsiTheme="majorHAnsi" w:cstheme="majorHAnsi"/>
          <w:lang w:eastAsia="fr-FR"/>
        </w:rPr>
        <w:t>…</w:t>
      </w:r>
    </w:p>
    <w:p w:rsidR="00A00D4B" w:rsidRPr="005907CF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Annoncer l’ordre du jour ; dire que l’on ne parlera pas des situations individuelles (</w:t>
      </w:r>
      <w:r w:rsidRPr="00B72ACB">
        <w:rPr>
          <w:rFonts w:asciiTheme="majorHAnsi" w:eastAsia="Times New Roman" w:hAnsiTheme="majorHAnsi" w:cstheme="majorHAnsi"/>
          <w:i/>
          <w:lang w:eastAsia="fr-FR"/>
        </w:rPr>
        <w:t>venez me voir à la fin ou à un autre moment si besoin</w:t>
      </w:r>
      <w:r>
        <w:rPr>
          <w:rFonts w:asciiTheme="majorHAnsi" w:eastAsia="Times New Roman" w:hAnsiTheme="majorHAnsi" w:cstheme="majorHAnsi"/>
          <w:lang w:eastAsia="fr-FR"/>
        </w:rPr>
        <w:t>)</w:t>
      </w:r>
    </w:p>
    <w:p w:rsidR="00A00D4B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 w:rsidRPr="00B72ACB">
        <w:rPr>
          <w:rFonts w:asciiTheme="majorHAnsi" w:eastAsia="Times New Roman" w:hAnsiTheme="majorHAnsi" w:cstheme="majorHAnsi"/>
          <w:lang w:eastAsia="fr-FR"/>
        </w:rPr>
        <w:t xml:space="preserve">En premier lieu, </w:t>
      </w:r>
      <w:r>
        <w:rPr>
          <w:rFonts w:asciiTheme="majorHAnsi" w:eastAsia="Times New Roman" w:hAnsiTheme="majorHAnsi" w:cstheme="majorHAnsi"/>
          <w:lang w:eastAsia="fr-FR"/>
        </w:rPr>
        <w:t xml:space="preserve">échanger sur le « mode d’emploi du partenariat » : </w:t>
      </w:r>
      <w:r w:rsidR="00AB026E">
        <w:rPr>
          <w:rFonts w:asciiTheme="majorHAnsi" w:eastAsia="Times New Roman" w:hAnsiTheme="majorHAnsi" w:cstheme="majorHAnsi"/>
          <w:lang w:eastAsia="fr-FR"/>
        </w:rPr>
        <w:t xml:space="preserve">expliquer les enjeux, </w:t>
      </w:r>
      <w:r>
        <w:rPr>
          <w:rFonts w:asciiTheme="majorHAnsi" w:eastAsia="Times New Roman" w:hAnsiTheme="majorHAnsi" w:cstheme="majorHAnsi"/>
          <w:lang w:eastAsia="fr-FR"/>
        </w:rPr>
        <w:t xml:space="preserve">document </w:t>
      </w:r>
      <w:r w:rsidR="00AB026E">
        <w:rPr>
          <w:rFonts w:asciiTheme="majorHAnsi" w:eastAsia="Times New Roman" w:hAnsiTheme="majorHAnsi" w:cstheme="majorHAnsi"/>
          <w:lang w:eastAsia="fr-FR"/>
        </w:rPr>
        <w:t>remis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Pr="007D52AC">
        <w:rPr>
          <w:rFonts w:asciiTheme="majorHAnsi" w:eastAsia="Times New Roman" w:hAnsiTheme="majorHAnsi" w:cstheme="majorHAnsi"/>
          <w:b/>
          <w:lang w:eastAsia="fr-FR"/>
        </w:rPr>
        <w:t>en main propre aux parents présents</w:t>
      </w:r>
      <w:r w:rsidR="00A742E9">
        <w:rPr>
          <w:rFonts w:asciiTheme="majorHAnsi" w:eastAsia="Times New Roman" w:hAnsiTheme="majorHAnsi" w:cstheme="majorHAnsi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lang w:eastAsia="fr-FR"/>
        </w:rPr>
        <w:t xml:space="preserve">; </w:t>
      </w:r>
      <w:r w:rsidR="00A742E9">
        <w:rPr>
          <w:rFonts w:asciiTheme="majorHAnsi" w:eastAsia="Times New Roman" w:hAnsiTheme="majorHAnsi" w:cstheme="majorHAnsi"/>
          <w:lang w:eastAsia="fr-FR"/>
        </w:rPr>
        <w:t xml:space="preserve">commenter, </w:t>
      </w:r>
      <w:r w:rsidR="00AB026E">
        <w:rPr>
          <w:rFonts w:asciiTheme="majorHAnsi" w:eastAsia="Times New Roman" w:hAnsiTheme="majorHAnsi" w:cstheme="majorHAnsi"/>
          <w:lang w:eastAsia="fr-FR"/>
        </w:rPr>
        <w:t>leur donner la parole</w:t>
      </w:r>
    </w:p>
    <w:p w:rsidR="00A00D4B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lastRenderedPageBreak/>
        <w:t>Pour décliner ce mode d’emploi, commencer par une intervention du directeur sur le fonctionnement de l’école, poursuivre avec le fonctionnement de la classe ;</w:t>
      </w:r>
    </w:p>
    <w:p w:rsidR="00A00D4B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Pour l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égitimer </w:t>
      </w:r>
      <w:r>
        <w:rPr>
          <w:rFonts w:asciiTheme="majorHAnsi" w:eastAsia="Times New Roman" w:hAnsiTheme="majorHAnsi" w:cstheme="majorHAnsi"/>
          <w:lang w:eastAsia="fr-FR"/>
        </w:rPr>
        <w:t>certains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 propos et</w:t>
      </w:r>
      <w:r>
        <w:rPr>
          <w:rFonts w:asciiTheme="majorHAnsi" w:eastAsia="Times New Roman" w:hAnsiTheme="majorHAnsi" w:cstheme="majorHAnsi"/>
          <w:lang w:eastAsia="fr-FR"/>
        </w:rPr>
        <w:t xml:space="preserve"> conseils, s’appuyer sur des documents institutionnels (textes officiels, règlement de l’école, documents de circonscription, EDUSCOL), des apports de la recherche 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(sommeil, écran, santé, </w:t>
      </w:r>
      <w:r w:rsidR="00A742E9">
        <w:rPr>
          <w:rFonts w:asciiTheme="majorHAnsi" w:eastAsia="Times New Roman" w:hAnsiTheme="majorHAnsi" w:cstheme="majorHAnsi"/>
          <w:lang w:eastAsia="fr-FR"/>
        </w:rPr>
        <w:t xml:space="preserve">importance du partenariat (P Périer), 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etc.), </w:t>
      </w:r>
      <w:r>
        <w:rPr>
          <w:rFonts w:asciiTheme="majorHAnsi" w:eastAsia="Times New Roman" w:hAnsiTheme="majorHAnsi" w:cstheme="majorHAnsi"/>
          <w:lang w:eastAsia="fr-FR"/>
        </w:rPr>
        <w:t>ou encore des constats faits en classe, etc. Ne pas</w:t>
      </w:r>
      <w:r w:rsidR="00B22DC6">
        <w:rPr>
          <w:rFonts w:asciiTheme="majorHAnsi" w:eastAsia="Times New Roman" w:hAnsiTheme="majorHAnsi" w:cstheme="majorHAnsi"/>
          <w:lang w:eastAsia="fr-FR"/>
        </w:rPr>
        <w:t xml:space="preserve"> donner son «</w:t>
      </w:r>
      <w:r w:rsidR="00A6252A">
        <w:rPr>
          <w:rFonts w:asciiTheme="majorHAnsi" w:eastAsia="Times New Roman" w:hAnsiTheme="majorHAnsi" w:cstheme="majorHAnsi"/>
          <w:lang w:eastAsia="fr-FR"/>
        </w:rPr>
        <w:t> avis personnel (et subjectif)</w:t>
      </w:r>
      <w:r w:rsidR="00B22DC6">
        <w:rPr>
          <w:rFonts w:asciiTheme="majorHAnsi" w:eastAsia="Times New Roman" w:hAnsiTheme="majorHAnsi" w:cstheme="majorHAnsi"/>
          <w:lang w:eastAsia="fr-FR"/>
        </w:rPr>
        <w:t> ;</w:t>
      </w:r>
    </w:p>
    <w:p w:rsidR="00B22DC6" w:rsidRDefault="00A00D4B" w:rsidP="00B22DC6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Proscrire le jargon, les détails pédagogiques (outils maîtres et élèves, programmes et contenus, emploi du temps…)</w:t>
      </w:r>
      <w:r w:rsidR="00B22DC6">
        <w:rPr>
          <w:rFonts w:asciiTheme="majorHAnsi" w:eastAsia="Times New Roman" w:hAnsiTheme="majorHAnsi" w:cstheme="majorHAnsi"/>
          <w:lang w:eastAsia="fr-FR"/>
        </w:rPr>
        <w:t xml:space="preserve">, </w:t>
      </w:r>
      <w:r w:rsidR="00A40E45" w:rsidRPr="00B22DC6">
        <w:rPr>
          <w:rFonts w:asciiTheme="majorHAnsi" w:eastAsia="Times New Roman" w:hAnsiTheme="majorHAnsi" w:cstheme="majorHAnsi"/>
          <w:lang w:eastAsia="fr-FR"/>
        </w:rPr>
        <w:t>les listes fastidieuses (enseignements au p</w:t>
      </w:r>
      <w:r w:rsidR="00B22DC6">
        <w:rPr>
          <w:rFonts w:asciiTheme="majorHAnsi" w:eastAsia="Times New Roman" w:hAnsiTheme="majorHAnsi" w:cstheme="majorHAnsi"/>
          <w:lang w:eastAsia="fr-FR"/>
        </w:rPr>
        <w:t>rogramme, outils élèves, etc.).</w:t>
      </w:r>
    </w:p>
    <w:p w:rsidR="00A40E45" w:rsidRPr="00B22DC6" w:rsidRDefault="00A40E45" w:rsidP="00B22DC6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 w:rsidRPr="00B22DC6">
        <w:rPr>
          <w:rFonts w:asciiTheme="majorHAnsi" w:eastAsia="Times New Roman" w:hAnsiTheme="majorHAnsi" w:cstheme="majorHAnsi"/>
          <w:lang w:eastAsia="fr-FR"/>
        </w:rPr>
        <w:t>Renvoyer vers des outils</w:t>
      </w:r>
      <w:r w:rsidR="00B22DC6">
        <w:rPr>
          <w:rFonts w:asciiTheme="majorHAnsi" w:eastAsia="Times New Roman" w:hAnsiTheme="majorHAnsi" w:cstheme="majorHAnsi"/>
          <w:lang w:eastAsia="fr-FR"/>
        </w:rPr>
        <w:t xml:space="preserve"> et ressources (de classe – listes des outils élèves, par ex - ou institutionnels – brochure sur l’autorité parentale)</w:t>
      </w:r>
    </w:p>
    <w:p w:rsidR="00A00D4B" w:rsidRPr="0056786D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 w:rsidRPr="0056786D">
        <w:rPr>
          <w:rFonts w:asciiTheme="majorHAnsi" w:eastAsia="Times New Roman" w:hAnsiTheme="majorHAnsi" w:cstheme="majorHAnsi"/>
          <w:lang w:eastAsia="fr-FR"/>
        </w:rPr>
        <w:t>Prévoir un chapitre « Questions diverses » pour laisser la parole libre aux participants</w:t>
      </w:r>
    </w:p>
    <w:p w:rsidR="00A00D4B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Utiliser des supports variés</w:t>
      </w:r>
      <w:r w:rsidRPr="0056786D">
        <w:rPr>
          <w:rFonts w:asciiTheme="majorHAnsi" w:eastAsia="Times New Roman" w:hAnsiTheme="majorHAnsi" w:cstheme="majorHAnsi"/>
          <w:lang w:eastAsia="fr-FR"/>
        </w:rPr>
        <w:t xml:space="preserve"> : diaporama, photos, vidéos de présentation…</w:t>
      </w:r>
    </w:p>
    <w:p w:rsidR="00A00D4B" w:rsidRPr="007D52AC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Faire la réunion la plus courte possible (1h30 maxi, en dehors des discussions informelles) et t</w:t>
      </w:r>
      <w:r>
        <w:t>enir le temps (essentiel)</w:t>
      </w:r>
    </w:p>
    <w:p w:rsidR="00A00D4B" w:rsidRPr="00B72ACB" w:rsidRDefault="00A00D4B" w:rsidP="00A00D4B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Ne pas proposer de compte-rendu (pour ne pas dissuader les parents de venir aux réunions suivantes)</w:t>
      </w:r>
    </w:p>
    <w:p w:rsidR="00A00D4B" w:rsidRPr="007D52AC" w:rsidRDefault="00A00D4B" w:rsidP="00A00D4B">
      <w:pPr>
        <w:pStyle w:val="Paragraphedeliste"/>
        <w:spacing w:after="200" w:line="276" w:lineRule="auto"/>
        <w:rPr>
          <w:rFonts w:asciiTheme="majorHAnsi" w:eastAsia="Times New Roman" w:hAnsiTheme="majorHAnsi" w:cstheme="majorHAnsi"/>
          <w:lang w:eastAsia="fr-FR"/>
        </w:rPr>
      </w:pPr>
    </w:p>
    <w:p w:rsidR="00665BEC" w:rsidRDefault="00665BEC"/>
    <w:sectPr w:rsidR="00665BEC" w:rsidSect="00FB20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957"/>
    <w:multiLevelType w:val="hybridMultilevel"/>
    <w:tmpl w:val="45321D54"/>
    <w:lvl w:ilvl="0" w:tplc="61428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ED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A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8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8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2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8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2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A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474A97"/>
    <w:multiLevelType w:val="hybridMultilevel"/>
    <w:tmpl w:val="B08437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D36C5"/>
    <w:multiLevelType w:val="hybridMultilevel"/>
    <w:tmpl w:val="D9309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B"/>
    <w:rsid w:val="00001CEB"/>
    <w:rsid w:val="0012441F"/>
    <w:rsid w:val="001C7097"/>
    <w:rsid w:val="00325591"/>
    <w:rsid w:val="00327FEC"/>
    <w:rsid w:val="004905FD"/>
    <w:rsid w:val="004D4970"/>
    <w:rsid w:val="00665BEC"/>
    <w:rsid w:val="00874E87"/>
    <w:rsid w:val="009C7B50"/>
    <w:rsid w:val="00A00D4B"/>
    <w:rsid w:val="00A40E45"/>
    <w:rsid w:val="00A6252A"/>
    <w:rsid w:val="00A742E9"/>
    <w:rsid w:val="00A84A49"/>
    <w:rsid w:val="00AB026E"/>
    <w:rsid w:val="00AD5EBB"/>
    <w:rsid w:val="00B22DC6"/>
    <w:rsid w:val="00C33C9F"/>
    <w:rsid w:val="00CF14B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B95B-828E-4D6F-9DEF-6870724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4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jbeal7</dc:creator>
  <cp:keywords/>
  <dc:description/>
  <cp:lastModifiedBy>ftscherter</cp:lastModifiedBy>
  <cp:revision>9</cp:revision>
  <dcterms:created xsi:type="dcterms:W3CDTF">2023-05-02T15:50:00Z</dcterms:created>
  <dcterms:modified xsi:type="dcterms:W3CDTF">2023-05-26T06:49:00Z</dcterms:modified>
</cp:coreProperties>
</file>